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59E0" w14:textId="77777777" w:rsidR="00D030CD" w:rsidRDefault="00D030CD" w:rsidP="00D030CD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color w:val="2E2E2E"/>
          <w:sz w:val="26"/>
          <w:szCs w:val="26"/>
        </w:rPr>
      </w:pPr>
      <w:r>
        <w:rPr>
          <w:rStyle w:val="Strong"/>
          <w:rFonts w:ascii="Arial" w:hAnsi="Arial" w:cs="Arial"/>
          <w:color w:val="2E2E2E"/>
          <w:sz w:val="26"/>
          <w:szCs w:val="26"/>
        </w:rPr>
        <w:t>VA extends financial, benefits and claims relief to Veterans</w:t>
      </w:r>
    </w:p>
    <w:p w14:paraId="6427C562" w14:textId="77777777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E2E2E"/>
          <w:sz w:val="26"/>
          <w:szCs w:val="26"/>
        </w:rPr>
      </w:pPr>
      <w:r>
        <w:rPr>
          <w:rStyle w:val="Strong"/>
          <w:rFonts w:ascii="Arial" w:hAnsi="Arial" w:cs="Arial"/>
          <w:color w:val="2E2E2E"/>
          <w:sz w:val="26"/>
          <w:szCs w:val="26"/>
        </w:rPr>
        <w:t>WASHINGTON -</w:t>
      </w:r>
      <w:r>
        <w:rPr>
          <w:rFonts w:ascii="Arial" w:hAnsi="Arial" w:cs="Arial"/>
          <w:color w:val="2E2E2E"/>
          <w:sz w:val="26"/>
          <w:szCs w:val="26"/>
        </w:rPr>
        <w:t xml:space="preserve"> The Department of Veterans Affairs (VA) announced, April 3, </w:t>
      </w:r>
      <w:proofErr w:type="gramStart"/>
      <w:r>
        <w:rPr>
          <w:rFonts w:ascii="Arial" w:hAnsi="Arial" w:cs="Arial"/>
          <w:color w:val="2E2E2E"/>
          <w:sz w:val="26"/>
          <w:szCs w:val="26"/>
        </w:rPr>
        <w:t>a number of</w:t>
      </w:r>
      <w:proofErr w:type="gramEnd"/>
      <w:r>
        <w:rPr>
          <w:rFonts w:ascii="Arial" w:hAnsi="Arial" w:cs="Arial"/>
          <w:color w:val="2E2E2E"/>
          <w:sz w:val="26"/>
          <w:szCs w:val="26"/>
        </w:rPr>
        <w:t xml:space="preserve"> actions to provide Veterans with financial, benefits and claims help amid VA's COVID-19 response.</w:t>
      </w:r>
    </w:p>
    <w:p w14:paraId="64CC26BA" w14:textId="77777777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“As all Americans come together to fight the COVID-19 pandemic, we want Veterans to be focused on their health and safety,” said VA Secretary Robert </w:t>
      </w:r>
      <w:proofErr w:type="spellStart"/>
      <w:r>
        <w:rPr>
          <w:rFonts w:ascii="Arial" w:hAnsi="Arial" w:cs="Arial"/>
          <w:color w:val="2E2E2E"/>
          <w:sz w:val="26"/>
          <w:szCs w:val="26"/>
        </w:rPr>
        <w:t>Wilkie</w:t>
      </w:r>
      <w:proofErr w:type="spellEnd"/>
      <w:r>
        <w:rPr>
          <w:rFonts w:ascii="Arial" w:hAnsi="Arial" w:cs="Arial"/>
          <w:color w:val="2E2E2E"/>
          <w:sz w:val="26"/>
          <w:szCs w:val="26"/>
        </w:rPr>
        <w:t>. “That’s why we’re taking action to give those with pending debts, claims and appeals greater flexibility during these challenging times.”</w:t>
      </w:r>
    </w:p>
    <w:p w14:paraId="06F69D84" w14:textId="77777777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>The financial relief actions include the following until further notice:</w:t>
      </w:r>
    </w:p>
    <w:p w14:paraId="3E0592AA" w14:textId="77777777" w:rsidR="00D030CD" w:rsidRDefault="00D030CD" w:rsidP="00D030CD">
      <w:pPr>
        <w:numPr>
          <w:ilvl w:val="0"/>
          <w:numId w:val="1"/>
        </w:numPr>
        <w:spacing w:before="100" w:beforeAutospacing="1" w:after="100" w:afterAutospacing="1" w:line="360" w:lineRule="atLeast"/>
        <w:ind w:left="525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Suspending all actions on Veteran debts under the jurisdiction of the Treasury Department.</w:t>
      </w:r>
    </w:p>
    <w:p w14:paraId="76D8690F" w14:textId="77777777" w:rsidR="00D030CD" w:rsidRDefault="00D030CD" w:rsidP="00D030CD">
      <w:pPr>
        <w:numPr>
          <w:ilvl w:val="0"/>
          <w:numId w:val="1"/>
        </w:numPr>
        <w:spacing w:before="100" w:beforeAutospacing="1" w:after="100" w:afterAutospacing="1" w:line="360" w:lineRule="atLeast"/>
        <w:ind w:left="525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Suspending collection action or extending repayment terms on preexisting VA debts, as the Veteran prefers.</w:t>
      </w:r>
    </w:p>
    <w:p w14:paraId="67435477" w14:textId="77777777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For benefit debts, Veterans can contact the VA Debt Management Center at 1-800-827-0648 to </w:t>
      </w:r>
      <w:proofErr w:type="gramStart"/>
      <w:r>
        <w:rPr>
          <w:rFonts w:ascii="Arial" w:hAnsi="Arial" w:cs="Arial"/>
          <w:color w:val="2E2E2E"/>
          <w:sz w:val="26"/>
          <w:szCs w:val="26"/>
        </w:rPr>
        <w:t>make arrangements</w:t>
      </w:r>
      <w:proofErr w:type="gramEnd"/>
      <w:r>
        <w:rPr>
          <w:rFonts w:ascii="Arial" w:hAnsi="Arial" w:cs="Arial"/>
          <w:color w:val="2E2E2E"/>
          <w:sz w:val="26"/>
          <w:szCs w:val="26"/>
        </w:rPr>
        <w:t>.</w:t>
      </w:r>
    </w:p>
    <w:p w14:paraId="1D0C485A" w14:textId="77777777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 xml:space="preserve">For health care debts, Veterans can contact the Health Resource Center at 1-888-827-4817 to </w:t>
      </w:r>
      <w:proofErr w:type="gramStart"/>
      <w:r>
        <w:rPr>
          <w:rFonts w:ascii="Arial" w:hAnsi="Arial" w:cs="Arial"/>
          <w:color w:val="2E2E2E"/>
          <w:sz w:val="26"/>
          <w:szCs w:val="26"/>
        </w:rPr>
        <w:t>make arrangements</w:t>
      </w:r>
      <w:proofErr w:type="gramEnd"/>
      <w:r>
        <w:rPr>
          <w:rFonts w:ascii="Arial" w:hAnsi="Arial" w:cs="Arial"/>
          <w:color w:val="2E2E2E"/>
          <w:sz w:val="26"/>
          <w:szCs w:val="26"/>
        </w:rPr>
        <w:t>.</w:t>
      </w:r>
    </w:p>
    <w:p w14:paraId="7B40667B" w14:textId="77777777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>The benefits and claims relief actions include giving Veterans the option to submit their paperwork late for the following actions:</w:t>
      </w:r>
    </w:p>
    <w:p w14:paraId="70A868F4" w14:textId="77777777" w:rsidR="00D030CD" w:rsidRDefault="00D030CD" w:rsidP="00D030CD">
      <w:pPr>
        <w:numPr>
          <w:ilvl w:val="0"/>
          <w:numId w:val="2"/>
        </w:numPr>
        <w:spacing w:before="100" w:beforeAutospacing="1" w:after="100" w:afterAutospacing="1" w:line="360" w:lineRule="atLeast"/>
        <w:ind w:left="525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perfecting claims</w:t>
      </w:r>
    </w:p>
    <w:p w14:paraId="07CF449E" w14:textId="77777777" w:rsidR="00D030CD" w:rsidRDefault="00D030CD" w:rsidP="00D030CD">
      <w:pPr>
        <w:numPr>
          <w:ilvl w:val="0"/>
          <w:numId w:val="2"/>
        </w:numPr>
        <w:spacing w:before="100" w:beforeAutospacing="1" w:after="100" w:afterAutospacing="1" w:line="360" w:lineRule="atLeast"/>
        <w:ind w:left="525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challenging adverse decisions</w:t>
      </w:r>
    </w:p>
    <w:p w14:paraId="35880B22" w14:textId="77777777" w:rsidR="00D030CD" w:rsidRDefault="00D030CD" w:rsidP="00D030CD">
      <w:pPr>
        <w:numPr>
          <w:ilvl w:val="0"/>
          <w:numId w:val="2"/>
        </w:numPr>
        <w:spacing w:before="100" w:beforeAutospacing="1" w:after="100" w:afterAutospacing="1" w:line="360" w:lineRule="atLeast"/>
        <w:ind w:left="525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submitting Notices of Disagreement</w:t>
      </w:r>
    </w:p>
    <w:p w14:paraId="3F1FF7DC" w14:textId="77777777" w:rsidR="00D030CD" w:rsidRDefault="00D030CD" w:rsidP="00D030CD">
      <w:pPr>
        <w:numPr>
          <w:ilvl w:val="0"/>
          <w:numId w:val="2"/>
        </w:numPr>
        <w:spacing w:before="100" w:beforeAutospacing="1" w:after="100" w:afterAutospacing="1" w:line="360" w:lineRule="atLeast"/>
        <w:ind w:left="525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submitting Substantive Appeals</w:t>
      </w:r>
    </w:p>
    <w:p w14:paraId="48748AF6" w14:textId="77777777" w:rsidR="00D030CD" w:rsidRDefault="00D030CD" w:rsidP="00D030CD">
      <w:pPr>
        <w:numPr>
          <w:ilvl w:val="0"/>
          <w:numId w:val="2"/>
        </w:numPr>
        <w:spacing w:before="100" w:beforeAutospacing="1" w:after="100" w:afterAutospacing="1" w:line="360" w:lineRule="atLeast"/>
        <w:ind w:left="525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responding to Supplemental Statements of the Case</w:t>
      </w:r>
    </w:p>
    <w:p w14:paraId="3A03E99E" w14:textId="77777777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E2E2E"/>
          <w:sz w:val="26"/>
          <w:szCs w:val="26"/>
        </w:rPr>
      </w:pPr>
      <w:r>
        <w:rPr>
          <w:rFonts w:ascii="Arial" w:hAnsi="Arial" w:cs="Arial"/>
          <w:color w:val="2E2E2E"/>
          <w:sz w:val="26"/>
          <w:szCs w:val="26"/>
        </w:rPr>
        <w:t>Veterans requesting claim extensions can simply submit them with any late-filed paperwork and Veterans do not have to proactively request an extension in advance. For added convenience, VA will also accept typed/digital signatures instead of wet signatures on its forms. Those with questions can call 1-800-827-1000.</w:t>
      </w:r>
    </w:p>
    <w:p w14:paraId="27FDCE8B" w14:textId="3F9E0180" w:rsidR="00D030CD" w:rsidRDefault="00D030CD" w:rsidP="00D030CD">
      <w:pPr>
        <w:pStyle w:val="NormalWeb"/>
        <w:spacing w:before="0" w:beforeAutospacing="0" w:after="0" w:afterAutospacing="0" w:line="360" w:lineRule="atLeast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2E2E2E"/>
          <w:sz w:val="26"/>
          <w:szCs w:val="26"/>
        </w:rPr>
        <w:t>For Veterans who have been diagnosed with COVID-19 and need immediate action on their appeals, as opposed to a filing extension, the </w:t>
      </w:r>
      <w:hyperlink r:id="rId5" w:tgtFrame="_blank" w:history="1">
        <w:r>
          <w:rPr>
            <w:rStyle w:val="Hyperlink"/>
            <w:rFonts w:ascii="Arial" w:hAnsi="Arial" w:cs="Arial"/>
            <w:color w:val="0B6CB2"/>
            <w:sz w:val="26"/>
            <w:szCs w:val="26"/>
          </w:rPr>
          <w:t>Board of Veterans' Appeals</w:t>
        </w:r>
      </w:hyperlink>
      <w:r>
        <w:rPr>
          <w:rFonts w:ascii="Arial" w:hAnsi="Arial" w:cs="Arial"/>
          <w:color w:val="2E2E2E"/>
          <w:sz w:val="26"/>
          <w:szCs w:val="26"/>
        </w:rPr>
        <w:t> will Advance their appeal on Docket (AOD). </w:t>
      </w:r>
      <w:hyperlink r:id="rId6" w:tgtFrame="_blank" w:history="1">
        <w:r>
          <w:rPr>
            <w:rStyle w:val="Hyperlink"/>
            <w:rFonts w:ascii="Arial" w:hAnsi="Arial" w:cs="Arial"/>
            <w:color w:val="0B6CB2"/>
            <w:sz w:val="26"/>
            <w:szCs w:val="26"/>
          </w:rPr>
          <w:t>Click here</w:t>
        </w:r>
      </w:hyperlink>
      <w:r>
        <w:rPr>
          <w:rFonts w:ascii="Arial" w:hAnsi="Arial" w:cs="Arial"/>
          <w:color w:val="2E2E2E"/>
          <w:sz w:val="26"/>
          <w:szCs w:val="26"/>
        </w:rPr>
        <w:t> to find out how to file for AOD and what documentation is required.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D030CD" w14:paraId="1AD6DB0B" w14:textId="77777777" w:rsidTr="00D030CD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single" w:sz="8" w:space="0" w:color="E0E4E9"/>
                <w:left w:val="single" w:sz="8" w:space="0" w:color="E0E4E9"/>
                <w:bottom w:val="single" w:sz="8" w:space="0" w:color="E0E4E9"/>
                <w:right w:val="single" w:sz="8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D030CD" w14:paraId="6A92E0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0" w:type="dxa"/>
                    <w:tblBorders>
                      <w:top w:val="single" w:sz="8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814"/>
                  </w:tblGrid>
                  <w:tr w:rsidR="00D030CD" w14:paraId="35F040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3CB6FC7E" w14:textId="77777777" w:rsidR="00D030CD" w:rsidRDefault="00D030C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530141EB" w14:textId="77777777" w:rsidR="00D030CD" w:rsidRDefault="00D030CD">
                        <w:pPr>
                          <w:pStyle w:val="Heading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VA.gov | Veterans Affairs</w:t>
                        </w:r>
                      </w:p>
                      <w:p w14:paraId="724AAD88" w14:textId="77777777" w:rsidR="00D030CD" w:rsidRDefault="00D030CD">
                        <w:pPr>
                          <w:pStyle w:val="ydp73fed9b4card-description"/>
                          <w:spacing w:before="0" w:beforeAutospacing="0" w:after="0" w:afterAutospacing="0" w:line="240" w:lineRule="atLeast"/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</w:rPr>
                          <w:t>Apply for and manage the VA benefits and services you’ve earned as a Veteran, Servicemember, or family member—li...</w:t>
                        </w:r>
                      </w:p>
                    </w:tc>
                  </w:tr>
                </w:tbl>
                <w:p w14:paraId="5CE57A54" w14:textId="77777777" w:rsidR="00D030CD" w:rsidRDefault="00D030C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C31A5B" w14:textId="77777777" w:rsidR="00D030CD" w:rsidRDefault="00D030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483D21" w14:textId="77777777" w:rsidR="00431E56" w:rsidRDefault="00431E56"/>
    <w:sectPr w:rsidR="0043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A68"/>
    <w:multiLevelType w:val="multilevel"/>
    <w:tmpl w:val="C34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D5947"/>
    <w:multiLevelType w:val="multilevel"/>
    <w:tmpl w:val="7A1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CD"/>
    <w:rsid w:val="00431E56"/>
    <w:rsid w:val="00D030CD"/>
    <w:rsid w:val="00D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0E45"/>
  <w15:chartTrackingRefBased/>
  <w15:docId w15:val="{6FD67ABE-B971-4662-955D-8D7DB8F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C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3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30CD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030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30CD"/>
    <w:pPr>
      <w:spacing w:before="100" w:beforeAutospacing="1" w:after="100" w:afterAutospacing="1"/>
    </w:pPr>
  </w:style>
  <w:style w:type="paragraph" w:customStyle="1" w:styleId="ydp73fed9b4card-description">
    <w:name w:val="ydp73fed9b4card-description"/>
    <w:basedOn w:val="Normal"/>
    <w:uiPriority w:val="99"/>
    <w:semiHidden/>
    <w:rsid w:val="00D030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03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bva.va.gov%2FCustomerService.asp&amp;data=02%7C01%7CTerrylynn.DiChiara%40scdva.sc.gov%7Ce74543c096e240c00d7508d7dbc3cd21%7Ce9f8d01480d84f27b0d6c3d6c085fcdd%7C1%7C0%7C637219506316776893&amp;sdata=ktGH6fjNCEm3Ci%2B%2FDb03wHiR4Fvf9EtcjwFMF0S%2Fs6Q%3D&amp;reserved=0" TargetMode="External"/><Relationship Id="rId5" Type="http://schemas.openxmlformats.org/officeDocument/2006/relationships/hyperlink" Target="https://gcc02.safelinks.protection.outlook.com/?url=https%3A%2F%2Fwww.bva.va.gov%2F&amp;data=02%7C01%7CTerrylynn.DiChiara%40scdva.sc.gov%7Ce74543c096e240c00d7508d7dbc3cd21%7Ce9f8d01480d84f27b0d6c3d6c085fcdd%7C1%7C0%7C637219506316766894&amp;sdata=tuJxhlKNAziqcKorR4OYDB%2B7wf8HgIf8EvChVCPtB%2B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Hilliard</dc:creator>
  <cp:keywords/>
  <dc:description/>
  <cp:lastModifiedBy>Betty Hilliard</cp:lastModifiedBy>
  <cp:revision>2</cp:revision>
  <dcterms:created xsi:type="dcterms:W3CDTF">2020-04-10T13:47:00Z</dcterms:created>
  <dcterms:modified xsi:type="dcterms:W3CDTF">2020-04-10T13:55:00Z</dcterms:modified>
</cp:coreProperties>
</file>